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Ordinance 2025-05: Curfew for Minors</w:t>
      </w:r>
    </w:p>
    <w:p>
      <w:r>
        <w:t>Ordinance 2025-05: Curfew for Minors</w:t>
      </w:r>
    </w:p>
    <w:p/>
    <w:p>
      <w:r>
        <w:t>AN ORDINANCE establishing a nighttime curfew for individuals under 17 years of age.</w:t>
      </w:r>
    </w:p>
    <w:p/>
    <w:p>
      <w:r>
        <w:t>SECTION 1: Minors may not be in public places between 11:00 PM and 5:00 AM on weekdays, and midnight to 5:00 AM on weekends.</w:t>
      </w:r>
    </w:p>
    <w:p/>
    <w:p>
      <w:r>
        <w:t>SECTION 2: Exceptions include school, work, or accompanied by a parent/guardian.</w:t>
      </w:r>
    </w:p>
    <w:p/>
    <w:p>
      <w:r>
        <w:t>SECTION 3: First-time violators shall receive a warning. Repeat offenses may result in referral to juvenile services.</w:t>
      </w:r>
    </w:p>
    <w:p/>
    <w:p>
      <w:r>
        <w:t>EFFECTIVE DATE: October 1, 2025.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