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Ordinance 2025-03: Tree Protection Ordinance</w:t>
      </w:r>
    </w:p>
    <w:p>
      <w:r>
        <w:t>Ordinance 2025-03: Tree Protection Ordinance</w:t>
      </w:r>
    </w:p>
    <w:p/>
    <w:p>
      <w:r>
        <w:t>AN ORDINANCE to preserve and protect trees on public and private property during development activity.</w:t>
      </w:r>
    </w:p>
    <w:p/>
    <w:p>
      <w:r>
        <w:t>SECTION 1: Any tree over 8 inches in diameter may not be removed without prior approval from the Planning Department.</w:t>
      </w:r>
    </w:p>
    <w:p/>
    <w:p>
      <w:r>
        <w:t>SECTION 2: Replacement trees shall be required at a 1:1 ratio for all removed protected trees.</w:t>
      </w:r>
    </w:p>
    <w:p/>
    <w:p>
      <w:r>
        <w:t>SECTION 3: Tree protection zones must be established during construction, with fencing placed no closer than the tree's drip line.</w:t>
      </w:r>
    </w:p>
    <w:p/>
    <w:p>
      <w:r>
        <w:t>EFFECTIVE DATE: August 15, 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